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2026_defa14a_ftc_solar_n.htm"/>
      <w:bookmarkStart w:id="1" w:name="ks2026_defa14a_ftc_solar_n"/>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color w:val="000000"/>
        </w:rPr>
      </w:pPr>
      <w:r>
        <w:rPr>
          <w:color w:val="000000"/>
        </w:rPr>
        <w:t xml:space="preserve">☐ </w:t>
      </w:r>
      <w:r>
        <w:rPr>
          <w:rFonts w:ascii="Times New Roman" w:hAnsi="Times New Roman"/>
          <w:color w:val="000000"/>
          <w:sz w:val="20"/>
        </w:rPr>
        <w:t>Preliminary Proxy Statement</w:t>
      </w:r>
    </w:p>
    <w:p>
      <w:pPr>
        <w:pStyle w:val="TextBody"/>
        <w:bidi w:val="0"/>
        <w:jc w:val="left"/>
        <w:rPr>
          <w:color w:val="000000"/>
        </w:rPr>
      </w:pPr>
      <w:r>
        <w:rPr>
          <w:color w:val="000000"/>
        </w:rPr>
        <w:t xml:space="preserve">☐ </w:t>
      </w:r>
      <w:r>
        <w:rPr>
          <w:rFonts w:ascii="Times New Roman" w:hAnsi="Times New Roman"/>
          <w:color w:val="000000"/>
          <w:sz w:val="20"/>
        </w:rPr>
        <w:t>Confidential, for Use of the Commission Only (as permitted by Rule 14a-6(e)(2))</w:t>
      </w:r>
    </w:p>
    <w:p>
      <w:pPr>
        <w:pStyle w:val="TextBody"/>
        <w:bidi w:val="0"/>
        <w:jc w:val="left"/>
        <w:rPr>
          <w:color w:val="000000"/>
        </w:rPr>
      </w:pPr>
      <w:r>
        <w:rPr>
          <w:color w:val="000000"/>
        </w:rPr>
        <w:t xml:space="preserve">☐ </w:t>
      </w:r>
      <w:r>
        <w:rPr>
          <w:rFonts w:ascii="Times New Roman" w:hAnsi="Times New Roman"/>
          <w:color w:val="000000"/>
          <w:sz w:val="20"/>
        </w:rPr>
        <w:t>Definitive Proxy Statement</w:t>
      </w:r>
    </w:p>
    <w:p>
      <w:pPr>
        <w:pStyle w:val="TextBody"/>
        <w:bidi w:val="0"/>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jc w:val="left"/>
        <w:rPr>
          <w:color w:val="000000"/>
        </w:rPr>
      </w:pPr>
      <w:r>
        <w:rPr>
          <w:color w:val="000000"/>
        </w:rPr>
        <w:t xml:space="preserve">☐ </w:t>
      </w:r>
      <w:r>
        <w:rPr>
          <w:rFonts w:ascii="Times New Roman" w:hAnsi="Times New Roman"/>
          <w:color w:val="000000"/>
          <w:sz w:val="20"/>
        </w:rPr>
        <w:t>Soliciting Material under §240.14a-12</w:t>
      </w:r>
    </w:p>
    <w:p>
      <w:pPr>
        <w:pStyle w:val="TextBody"/>
        <w:pBdr>
          <w:bottom w:val="single" w:sz="4"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FTC Solar,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color w:val="000000"/>
        </w:rPr>
      </w:pPr>
      <w:r>
        <w:rPr>
          <w:color w:val="000000"/>
        </w:rPr>
        <w:t xml:space="preserve">☒ </w:t>
      </w:r>
      <w:r>
        <w:rPr>
          <w:rFonts w:ascii="Times New Roman" w:hAnsi="Times New Roman"/>
          <w:color w:val="000000"/>
          <w:sz w:val="20"/>
        </w:rPr>
        <w:t>No fee required.</w:t>
      </w:r>
    </w:p>
    <w:p>
      <w:pPr>
        <w:pStyle w:val="TextBody"/>
        <w:bidi w:val="0"/>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jc w:val="left"/>
        <w:rPr>
          <w:color w:val="000000"/>
        </w:rPr>
      </w:pPr>
      <w:r>
        <w:rPr>
          <w:color w:val="000000"/>
        </w:rPr>
        <w:t xml:space="preserve">☐ </w:t>
      </w:r>
      <w:r>
        <w:rPr>
          <w:rFonts w:ascii="Times New Roman" w:hAnsi="Times New Roman"/>
          <w:color w:val="000000"/>
          <w:sz w:val="20"/>
        </w:rPr>
        <w:t>Fee computed on table in exhibit required by Exchange Act Rules 14a-6(i)(1) and 0-11.</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448425" cy="834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48425" cy="8343900"/>
                    </a:xfrm>
                    <a:prstGeom prst="rect">
                      <a:avLst/>
                    </a:prstGeom>
                  </pic:spPr>
                </pic:pic>
              </a:graphicData>
            </a:graphic>
          </wp:inline>
        </w:drawing>
      </w:r>
    </w:p>
    <w:p>
      <w:pPr>
        <w:pStyle w:val="TextBody"/>
        <w:bidi w:val="0"/>
        <w:jc w:val="center"/>
        <w:rPr/>
      </w:pPr>
      <w:r>
        <w:rPr/>
        <w:t> </w:t>
      </w:r>
    </w:p>
    <w:p>
      <w:pPr>
        <w:pStyle w:val="TextBody"/>
        <w:bidi w:val="0"/>
        <w:spacing w:before="0" w:after="160"/>
        <w:jc w:val="left"/>
        <w:rPr>
          <w:rFonts w:ascii="Times New Roman" w:hAnsi="Times New Roman"/>
          <w:sz w:val="2"/>
        </w:rPr>
      </w:pPr>
      <w:r>
        <w:rPr>
          <w:rFonts w:ascii="Times New Roman" w:hAnsi="Times New Roman"/>
          <w:b/>
          <w:color w:val="FFFFFF"/>
          <w:sz w:val="2"/>
        </w:rPr>
        <w:t xml:space="preserve">Your control number Your vote matters! Meeting Materials: </w:t>
      </w:r>
      <w:r>
        <w:rPr>
          <w:rFonts w:ascii="Times New Roman" w:hAnsi="Times New Roman"/>
          <w:color w:val="FFFFFF"/>
          <w:sz w:val="2"/>
        </w:rPr>
        <w:t xml:space="preserve">Notice of Meeting and Proxy Statement &amp; Annual Report on Form 10-K </w:t>
      </w:r>
      <w:r>
        <w:rPr>
          <w:rFonts w:ascii="Times New Roman" w:hAnsi="Times New Roman"/>
          <w:b/>
          <w:color w:val="FFFFFF"/>
          <w:sz w:val="2"/>
        </w:rPr>
        <w:t xml:space="preserve">Important Notice Regarding the Availability of Proxy Materials for the Stockholders Meeting To Be Held On November 30, 2026 for Stockholders of record as of October 7, 2026 To order paper materials, use one of the following methods. Internet: www.investorelections.com/FTCI Call: 1-866-648-8133 Email: paper@investorelections.com </w:t>
      </w:r>
      <w:r>
        <w:rPr>
          <w:rFonts w:ascii="Times New Roman" w:hAnsi="Times New Roman"/>
          <w:color w:val="FFFFFF"/>
          <w:sz w:val="2"/>
        </w:rPr>
        <w:t xml:space="preserve">* If requesting material by e-mail, please send a blank e-mail with the 12 digit control number (located below) in the subject line. No other requests, instructions OR other inquiries should be included with your e-mail requesting material. Have the 12 digit control number located in the box above available when you access the website and follow the instructions. Copyright © 2026 BetaNXT, Inc. or its affiliates. All Rights Reserved </w:t>
      </w:r>
      <w:r>
        <w:rPr>
          <w:rFonts w:ascii="Times New Roman" w:hAnsi="Times New Roman"/>
          <w:b/>
          <w:color w:val="FFFFFF"/>
          <w:sz w:val="2"/>
        </w:rPr>
        <w:t xml:space="preserve">FTC Solar, Inc. Annual Meeting of Stockholders </w:t>
      </w:r>
      <w:r>
        <w:rPr>
          <w:rFonts w:ascii="Times New Roman" w:hAnsi="Times New Roman"/>
          <w:color w:val="FFFFFF"/>
          <w:sz w:val="2"/>
        </w:rPr>
        <w:t xml:space="preserve">Monday, November 30, 2026 11:00 AM, Central Time Annual meeting to be held via the internet - please visit www.proxydocs.com/FTCI for more details. </w:t>
      </w:r>
      <w:r>
        <w:rPr>
          <w:rFonts w:ascii="Times New Roman" w:hAnsi="Times New Roman"/>
          <w:b/>
          <w:color w:val="FFFFFF"/>
          <w:sz w:val="2"/>
        </w:rPr>
        <w:t xml:space="preserve">You must register to attend the meeting online and/or participate at www.proxydocs.com/FTCI For a convenient way to view proxy materials, VOTE, and obtain directions to attend the meeting go to www.proxydocs.com/FTCI To vote your proxy while visiting this site, you will need the 12 digit control number in the box below. </w:t>
      </w:r>
      <w:r>
        <w:rPr>
          <w:rFonts w:ascii="Times New Roman" w:hAnsi="Times New Roman"/>
          <w:color w:val="FFFFFF"/>
          <w:sz w:val="2"/>
        </w:rPr>
        <w:t xml:space="preserve">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November 20, 2026. styleINA C/O TABULATOR, P.O. BOX 8016, CARY, NC 27512-9903 </w:t>
      </w:r>
      <w:r>
        <w:rPr>
          <w:rFonts w:ascii="Times New Roman" w:hAnsi="Times New Roman"/>
          <w:b/>
          <w:color w:val="FFFFFF"/>
          <w:sz w:val="2"/>
        </w:rPr>
        <w:t>SEE REVERSE FOR FULL AGENDA</w:t>
      </w:r>
      <w:r>
        <w:rPr>
          <w:rFonts w:ascii="Times New Roman" w:hAnsi="Times New Roman"/>
          <w:color w:val="FFFFFF"/>
          <w:sz w:val="2"/>
        </w:rPr>
        <w:t xml:space="preserve">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448425" cy="834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48425" cy="8343900"/>
                    </a:xfrm>
                    <a:prstGeom prst="rect">
                      <a:avLst/>
                    </a:prstGeom>
                  </pic:spPr>
                </pic:pic>
              </a:graphicData>
            </a:graphic>
          </wp:inline>
        </w:drawing>
      </w:r>
    </w:p>
    <w:p>
      <w:pPr>
        <w:pStyle w:val="TextBody"/>
        <w:bidi w:val="0"/>
        <w:spacing w:before="0" w:after="160"/>
        <w:jc w:val="left"/>
        <w:rPr>
          <w:rFonts w:ascii="Times New Roman" w:hAnsi="Times New Roman"/>
          <w:sz w:val="2"/>
        </w:rPr>
      </w:pPr>
      <w:r>
        <w:rPr>
          <w:rFonts w:ascii="Times New Roman" w:hAnsi="Times New Roman"/>
          <w:b/>
          <w:color w:val="FFFFFF"/>
          <w:sz w:val="2"/>
        </w:rPr>
        <w:t xml:space="preserve">PROPOSAL </w:t>
      </w:r>
      <w:r>
        <w:rPr>
          <w:rFonts w:ascii="Times New Roman" w:hAnsi="Times New Roman"/>
          <w:color w:val="FFFFFF"/>
          <w:sz w:val="2"/>
        </w:rPr>
        <w:t xml:space="preserve">1. Election of three Class II directors for a three-year term expiring at the 2029 annual meeting of stockholders and until their respective successors are duly elected and qualified; 1.01 Anthony Carroll 1.02 Shaker Sadasivam 1.03 Maximillian Sultan 2. Approval of, for purposes of complying with Nasdaq Listing Rule 5635(d), the issuance of shares of the Company's common stock to Lincoln Park Capital Fund, LLC. ("Lincoln Park") pursuant to the purchase agreement, dated August 4, 2026, between the Company and Lincoln Park, in an amount equal to or in excess of 20% of the Company's common stock outstanding as of August 4, 2026. 3. Ratification of the appointment of BDO as the Company's independent registered public accounting firm; and 4. To transact such other business as may properly come before the meeting and any adjournment or postponement thereof. </w:t>
      </w:r>
      <w:r>
        <w:rPr>
          <w:rFonts w:ascii="Times New Roman" w:hAnsi="Times New Roman"/>
          <w:b/>
          <w:color w:val="FFFFFF"/>
          <w:sz w:val="2"/>
        </w:rPr>
        <w:t xml:space="preserve">THE BOARD OF DIRECTORS RECOMMENDS A VOTE: FOR </w:t>
      </w:r>
      <w:r>
        <w:rPr>
          <w:rFonts w:ascii="Times New Roman" w:hAnsi="Times New Roman"/>
          <w:color w:val="FFFFFF"/>
          <w:sz w:val="2"/>
        </w:rPr>
        <w:t xml:space="preserve">ON PROPOSALS 1, 2 AND 3 </w:t>
      </w:r>
      <w:r>
        <w:rPr>
          <w:rFonts w:ascii="Times New Roman" w:hAnsi="Times New Roman"/>
          <w:b/>
          <w:color w:val="FFFFFF"/>
          <w:sz w:val="2"/>
        </w:rPr>
        <w:t>FTC Solar, Inc. Annual Meeting of Stockholders</w:t>
      </w:r>
      <w:r>
        <w:rPr>
          <w:rFonts w:ascii="Times New Roman" w:hAnsi="Times New Roman"/>
          <w:color w:val="FFFFFF"/>
          <w:sz w:val="2"/>
        </w:rPr>
        <w:t xml:space="preserve">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3447</Characters>
  <CharactersWithSpaces>4098</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