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Barahona Pablo</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FTC Solar,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FTCI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restart"/>
          </w:tcPr>
          <w:p>
            <w:pPr>
              <w:spacing w:after="0"/>
              <w:rPr>
                <w:sz w:val="20"/>
                <w:szCs w:val="20"/>
                <w:color w:val="auto"/>
              </w:rPr>
            </w:pPr>
            <w:r>
              <w:rPr>
                <w:rFonts w:ascii="Arial" w:cs="Arial" w:eastAsia="Arial" w:hAnsi="Arial"/>
                <w:sz w:val="13"/>
                <w:szCs w:val="13"/>
                <w:color w:val="auto"/>
              </w:rPr>
              <w:t>Foreign Trading Symbol</w:t>
            </w: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vMerge w:val="restart"/>
          </w:tcPr>
          <w:p>
            <w:pPr>
              <w:ind w:left="56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6"/>
            <w:vMerge w:val="continue"/>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10900 STONELAKE BLVD.</w:t>
            </w:r>
          </w:p>
        </w:tc>
        <w:tc>
          <w:tcPr>
            <w:tcW w:w="1340" w:type="dxa"/>
            <w:vAlign w:val="bottom"/>
          </w:tcPr>
          <w:p>
            <w:pPr>
              <w:spacing w:after="0"/>
              <w:rPr>
                <w:sz w:val="22"/>
                <w:szCs w:val="22"/>
                <w:color w:val="auto"/>
              </w:rPr>
            </w:pPr>
          </w:p>
        </w:tc>
        <w:tc>
          <w:tcPr>
            <w:tcW w:w="14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10/22/2026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SUITE 100 QUARRY OAKS II BUILDING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78759</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10/22/2026</w:t>
            </w: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26,667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56,672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pursuant to the Issuer's 2021 Stock Incentive Plan in lieu of cash consideration otherwise payable for the Reporting Person's service on the Issuer's board of directors and is fully vested on the date of grant.</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Cathy Behnen, as Attorney- </w:t>
      </w:r>
      <w:r>
        <w:rPr>
          <w:rFonts w:ascii="Times New Roman" w:cs="Times New Roman" w:eastAsia="Times New Roman" w:hAnsi="Times New Roman"/>
          <w:sz w:val="33"/>
          <w:szCs w:val="33"/>
          <w:color w:val="0000FF"/>
          <w:vertAlign w:val="subscript"/>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1702" TargetMode="External"/><Relationship Id="rId14" Type="http://schemas.openxmlformats.org/officeDocument/2006/relationships/hyperlink" Target="http://www.sec.gov/cgi-bin/browse-edgar?action=getcompany&amp;CIK=00018281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2026-10-23T17:31:09Z</dcterms:created>
  <dcterms:modified xsi:type="dcterms:W3CDTF">2026-10-23T17:31:09Z</dcterms:modified>
</cp:coreProperties>
</file>