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Chatila Ahmad 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FTC Solar,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FTCI</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3"/>
            <w:vMerge w:val="restart"/>
          </w:tcPr>
          <w:p>
            <w:pPr>
              <w:ind w:left="56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restart"/>
          </w:tcPr>
          <w:p>
            <w:pPr>
              <w:spacing w:after="0"/>
              <w:rPr>
                <w:sz w:val="3"/>
                <w:szCs w:val="3"/>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640" w:type="dxa"/>
            <w:vAlign w:val="bottom"/>
            <w:gridSpan w:val="3"/>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20" w:type="dxa"/>
            <w:vAlign w:val="bottom"/>
            <w:gridSpan w:val="6"/>
            <w:vMerge w:val="continue"/>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10900 STONELAKE BLVD.</w:t>
            </w:r>
          </w:p>
        </w:tc>
        <w:tc>
          <w:tcPr>
            <w:tcW w:w="1340" w:type="dxa"/>
            <w:vAlign w:val="bottom"/>
          </w:tcPr>
          <w:p>
            <w:pPr>
              <w:spacing w:after="0"/>
              <w:rPr>
                <w:sz w:val="22"/>
                <w:szCs w:val="22"/>
                <w:color w:val="auto"/>
              </w:rPr>
            </w:pPr>
          </w:p>
        </w:tc>
        <w:tc>
          <w:tcPr>
            <w:tcW w:w="14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10/22/2026</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SUITE 100 QUARRY OAKS II BUILDING</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9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AUSTIN</w:t>
            </w:r>
          </w:p>
        </w:tc>
        <w:tc>
          <w:tcPr>
            <w:tcW w:w="80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w w:val="96"/>
              </w:rPr>
              <w:t>TX</w:t>
            </w: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78759</w:t>
            </w: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3"/>
                <w:szCs w:val="13"/>
                <w:color w:val="auto"/>
              </w:rPr>
              <w:t>(City)</w:t>
            </w:r>
          </w:p>
        </w:tc>
        <w:tc>
          <w:tcPr>
            <w:tcW w:w="1640" w:type="dxa"/>
            <w:vAlign w:val="bottom"/>
            <w:gridSpan w:val="3"/>
          </w:tcPr>
          <w:p>
            <w:pPr>
              <w:ind w:left="5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8"/>
          </w:tcPr>
          <w:p>
            <w:pPr>
              <w:ind w:left="5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10/22/2026</w:t>
            </w: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22,222</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260,034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4"/>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restricted stock units pursuant to the Issuer's 2021 Stock Incentive Plan in lieu of cash consideration otherwise payable for the Reporting Person's service on the Issuer's board of directors and is fully vested on the date of grant.</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Cathy Behnen, as Attorney- </w:t>
      </w:r>
      <w:r>
        <w:rPr>
          <w:rFonts w:ascii="Times New Roman" w:cs="Times New Roman" w:eastAsia="Times New Roman" w:hAnsi="Times New Roman"/>
          <w:sz w:val="33"/>
          <w:szCs w:val="33"/>
          <w:color w:val="0000FF"/>
          <w:vertAlign w:val="subscript"/>
        </w:rPr>
        <w:t>10/23/2026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1942" TargetMode="External"/><Relationship Id="rId14" Type="http://schemas.openxmlformats.org/officeDocument/2006/relationships/hyperlink" Target="http://www.sec.gov/cgi-bin/browse-edgar?action=getcompany&amp;CIK=00018281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2026-10-23T17:30:46Z</dcterms:created>
  <dcterms:modified xsi:type="dcterms:W3CDTF">2026-10-23T17:30:46Z</dcterms:modified>
</cp:coreProperties>
</file>